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plan de prévention pour entreprise extérieure</w:t>
      </w:r>
    </w:p>
    <w:p>
      <w:r>
        <w:t>Trame vierge et exemple fictif de maintenance, édition du 15 octobre 2026</w:t>
      </w:r>
    </w:p>
    <w:p>
      <w:r>
        <w:t>Cette trame se remplit en commun après l'inspection préalable du lieu d'intervention. Elle aide à décrire les risques d'interférence entre entreprises et les mesures décidées. Aucun formulaire type n'est imposé par le Code du travail. Adaptez les rubriques à l'opération réelle.</w:t>
      </w:r>
    </w:p>
    <w:p>
      <w:r>
        <w:t>Plan écrit obligatoire avant les travaux si l'opération atteint au moins 400 heures prévisibles sur douze mois ou moins, sous-traitants compris, ou si elle comprend un travail dangereux de la liste de l'arrêté du 19 mars 1993. En dehors de ces cas, l'INRS recommande aussi une trace écrite. La signature n'est pas imposée par le Code du travail : elle atteste utilement l'accord des entreprises.</w:t>
      </w:r>
    </w:p>
    <w:p>
      <w:pPr>
        <w:pStyle w:val="Heading1"/>
      </w:pPr>
      <w:r>
        <w:t>1. Opération et intervenants</w:t>
      </w:r>
    </w:p>
    <w:p>
      <w:pPr>
        <w:pStyle w:val="ListBullet"/>
      </w:pPr>
      <w:r>
        <w:t>Entreprise utilisatrice : [raison sociale, établissement, responsable habilité, téléphone]</w:t>
      </w:r>
    </w:p>
    <w:p>
      <w:pPr>
        <w:pStyle w:val="ListBullet"/>
      </w:pPr>
      <w:r>
        <w:t>Entreprise extérieure : [raison sociale, responsable habilité, téléphone] ; sous-traitants : [liste]</w:t>
      </w:r>
    </w:p>
    <w:p>
      <w:pPr>
        <w:pStyle w:val="ListBullet"/>
      </w:pPr>
      <w:r>
        <w:t>Opération : [objet, zone, dates, horaires, effectif, nombre total d'heures prévisibles]</w:t>
      </w:r>
    </w:p>
    <w:p>
      <w:pPr>
        <w:pStyle w:val="ListBullet"/>
      </w:pPr>
      <w:r>
        <w:t>Écrit obligatoire : [oui/non, motif : 400 heures sur douze mois ou travaux dangereux]</w:t>
      </w:r>
    </w:p>
    <w:p>
      <w:pPr>
        <w:pStyle w:val="Heading1"/>
      </w:pPr>
      <w:r>
        <w:t>2. Inspection commune préalable</w:t>
      </w:r>
    </w:p>
    <w:p>
      <w:pPr>
        <w:pStyle w:val="ListBullet"/>
      </w:pPr>
      <w:r>
        <w:t>Date, participants EU/EE et sous-traitants : [à compléter]</w:t>
      </w:r>
    </w:p>
    <w:p>
      <w:pPr>
        <w:pStyle w:val="ListBullet"/>
      </w:pPr>
      <w:r>
        <w:t>Secteurs visités, accès, circulation, matériels en place, zones interdites : [à compléter]</w:t>
      </w:r>
    </w:p>
    <w:p>
      <w:pPr>
        <w:pStyle w:val="ListBullet"/>
      </w:pPr>
      <w:r>
        <w:t>Documents examinés : DUERP de chaque employeur, consignes de site, informations techniques utiles.</w:t>
      </w:r>
    </w:p>
    <w:p>
      <w:pPr>
        <w:pStyle w:val="ListBullet"/>
      </w:pPr>
      <w:r>
        <w:t>Risques d'interférence constatés et décisions communes : [à compléter]</w:t>
      </w:r>
    </w:p>
    <w:p>
      <w:pPr>
        <w:pStyle w:val="Heading1"/>
      </w:pPr>
      <w:r>
        <w:t>3. Analyse des phases et mesures</w:t>
      </w:r>
    </w:p>
    <w:p>
      <w:pPr>
        <w:pStyle w:val="ListBullet"/>
      </w:pPr>
      <w:r>
        <w:t>Décrire chaque phase dangereuse, le risque d'interférence, les moyens propres à chaque entreprise, le responsable et le contrôle avant le début.</w:t>
      </w:r>
    </w:p>
    <w:tbl>
      <w:tblPr>
        <w:tblStyle w:val="LightShading-Accent1"/>
        <w:tblW w:type="auto" w:w="0"/>
        <w:tblLook w:firstColumn="1" w:firstRow="1" w:lastColumn="0" w:lastRow="0" w:noHBand="0" w:noVBand="1" w:val="04A0"/>
      </w:tblPr>
      <w:tblGrid>
        <w:gridCol w:w="1728"/>
        <w:gridCol w:w="1728"/>
        <w:gridCol w:w="1728"/>
        <w:gridCol w:w="1728"/>
        <w:gridCol w:w="1728"/>
      </w:tblGrid>
      <w:tr>
        <w:tc>
          <w:tcPr>
            <w:tcW w:type="dxa" w:w="1728"/>
          </w:tcPr>
          <w:p>
            <w:r>
              <w:t>Phase et lieu</w:t>
            </w:r>
          </w:p>
        </w:tc>
        <w:tc>
          <w:tcPr>
            <w:tcW w:type="dxa" w:w="1728"/>
          </w:tcPr>
          <w:p>
            <w:r>
              <w:t>Interférence</w:t>
            </w:r>
          </w:p>
        </w:tc>
        <w:tc>
          <w:tcPr>
            <w:tcW w:type="dxa" w:w="1728"/>
          </w:tcPr>
          <w:p>
            <w:r>
              <w:t>Mesure EU</w:t>
            </w:r>
          </w:p>
        </w:tc>
        <w:tc>
          <w:tcPr>
            <w:tcW w:type="dxa" w:w="1728"/>
          </w:tcPr>
          <w:p>
            <w:r>
              <w:t>Mesure EE</w:t>
            </w:r>
          </w:p>
        </w:tc>
        <w:tc>
          <w:tcPr>
            <w:tcW w:type="dxa" w:w="1728"/>
          </w:tcPr>
          <w:p>
            <w:r>
              <w:t>Contrôle</w:t>
            </w:r>
          </w:p>
        </w:tc>
      </w:tr>
      <w:tr>
        <w:tc>
          <w:tcPr>
            <w:tcW w:type="dxa" w:w="1728"/>
          </w:tcPr>
          <w:p>
            <w:r>
              <w:t>[phase 1]</w:t>
            </w:r>
          </w:p>
        </w:tc>
        <w:tc>
          <w:tcPr>
            <w:tcW w:type="dxa" w:w="1728"/>
          </w:tcPr>
          <w:p>
            <w:r>
              <w:t>[risque observé]</w:t>
            </w:r>
          </w:p>
        </w:tc>
        <w:tc>
          <w:tcPr>
            <w:tcW w:type="dxa" w:w="1728"/>
          </w:tcPr>
          <w:p>
            <w:r>
              <w:t>[mesure]</w:t>
            </w:r>
          </w:p>
        </w:tc>
        <w:tc>
          <w:tcPr>
            <w:tcW w:type="dxa" w:w="1728"/>
          </w:tcPr>
          <w:p>
            <w:r>
              <w:t>[mesure]</w:t>
            </w:r>
          </w:p>
        </w:tc>
        <w:tc>
          <w:tcPr>
            <w:tcW w:type="dxa" w:w="1728"/>
          </w:tcPr>
          <w:p>
            <w:r>
              <w:t>[qui, quand]</w:t>
            </w:r>
          </w:p>
        </w:tc>
      </w:tr>
      <w:tr>
        <w:tc>
          <w:tcPr>
            <w:tcW w:type="dxa" w:w="1728"/>
          </w:tcPr>
          <w:p>
            <w:r>
              <w:t>[phase 2]</w:t>
            </w:r>
          </w:p>
        </w:tc>
        <w:tc>
          <w:tcPr>
            <w:tcW w:type="dxa" w:w="1728"/>
          </w:tcPr>
          <w:p>
            <w:r>
              <w:t>[risque observé]</w:t>
            </w:r>
          </w:p>
        </w:tc>
        <w:tc>
          <w:tcPr>
            <w:tcW w:type="dxa" w:w="1728"/>
          </w:tcPr>
          <w:p>
            <w:r>
              <w:t>[mesure]</w:t>
            </w:r>
          </w:p>
        </w:tc>
        <w:tc>
          <w:tcPr>
            <w:tcW w:type="dxa" w:w="1728"/>
          </w:tcPr>
          <w:p>
            <w:r>
              <w:t>[mesure]</w:t>
            </w:r>
          </w:p>
        </w:tc>
        <w:tc>
          <w:tcPr>
            <w:tcW w:type="dxa" w:w="1728"/>
          </w:tcPr>
          <w:p>
            <w:r>
              <w:t>[qui, quand]</w:t>
            </w:r>
          </w:p>
        </w:tc>
      </w:tr>
      <w:tr>
        <w:tc>
          <w:tcPr>
            <w:tcW w:type="dxa" w:w="1728"/>
          </w:tcPr>
          <w:p>
            <w:r>
              <w:t>[phase 3]</w:t>
            </w:r>
          </w:p>
        </w:tc>
        <w:tc>
          <w:tcPr>
            <w:tcW w:type="dxa" w:w="1728"/>
          </w:tcPr>
          <w:p>
            <w:r>
              <w:t>[risque observé]</w:t>
            </w:r>
          </w:p>
        </w:tc>
        <w:tc>
          <w:tcPr>
            <w:tcW w:type="dxa" w:w="1728"/>
          </w:tcPr>
          <w:p>
            <w:r>
              <w:t>[mesure]</w:t>
            </w:r>
          </w:p>
        </w:tc>
        <w:tc>
          <w:tcPr>
            <w:tcW w:type="dxa" w:w="1728"/>
          </w:tcPr>
          <w:p>
            <w:r>
              <w:t>[mesure]</w:t>
            </w:r>
          </w:p>
        </w:tc>
        <w:tc>
          <w:tcPr>
            <w:tcW w:type="dxa" w:w="1728"/>
          </w:tcPr>
          <w:p>
            <w:r>
              <w:t>[qui, quand]</w:t>
            </w:r>
          </w:p>
        </w:tc>
      </w:tr>
    </w:tbl>
    <w:p>
      <w:pPr>
        <w:pStyle w:val="Heading1"/>
      </w:pPr>
      <w:r>
        <w:t>4. Rubriques minimales de l'article R. 4512-8</w:t>
      </w:r>
    </w:p>
    <w:p>
      <w:pPr>
        <w:pStyle w:val="ListBullet"/>
      </w:pPr>
      <w:r>
        <w:t>Phases dangereuses et moyens de prévention spécifiques : [à compléter]</w:t>
      </w:r>
    </w:p>
    <w:p>
      <w:pPr>
        <w:pStyle w:val="ListBullet"/>
      </w:pPr>
      <w:r>
        <w:t>Adaptation des matériels, installations et dispositifs ; entretien : [à compléter]</w:t>
      </w:r>
    </w:p>
    <w:p>
      <w:pPr>
        <w:pStyle w:val="ListBullet"/>
      </w:pPr>
      <w:r>
        <w:t>Instructions à donner aux travailleurs : [à compléter]</w:t>
      </w:r>
    </w:p>
    <w:p>
      <w:pPr>
        <w:pStyle w:val="ListBullet"/>
      </w:pPr>
      <w:r>
        <w:t>Premiers secours et dispositif de l'entreprise utilisatrice : [à compléter]</w:t>
      </w:r>
    </w:p>
    <w:p>
      <w:pPr>
        <w:pStyle w:val="ListBullet"/>
      </w:pPr>
      <w:r>
        <w:t>Participation des travailleurs aux travaux d'une autre entreprise, coordination et commandement : [à compléter]</w:t>
      </w:r>
    </w:p>
    <w:p>
      <w:pPr>
        <w:pStyle w:val="Heading1"/>
      </w:pPr>
      <w:r>
        <w:t>5. Compléments à vérifier selon l'opération</w:t>
      </w:r>
    </w:p>
    <w:p>
      <w:pPr>
        <w:pStyle w:val="ListBullet"/>
      </w:pPr>
      <w:r>
        <w:t>Postes susceptibles d'un suivi individuel renforcé en raison des risques de l'opération (R. 4512-9) : [liste ou sans objet]</w:t>
      </w:r>
    </w:p>
    <w:p>
      <w:pPr>
        <w:pStyle w:val="ListBullet"/>
      </w:pPr>
      <w:r>
        <w:t>Répartition des charges d'entretien des locaux et installations mis à disposition (R. 4512-10) : [à compléter ou sans objet]</w:t>
      </w:r>
    </w:p>
    <w:p>
      <w:pPr>
        <w:pStyle w:val="ListBullet"/>
      </w:pPr>
      <w:r>
        <w:t>Dossier technique amiante ou repérage à joindre si le cas s'applique (R. 4512-11) : [référence ou sans objet]</w:t>
      </w:r>
    </w:p>
    <w:p>
      <w:pPr>
        <w:pStyle w:val="ListBullet"/>
      </w:pPr>
      <w:r>
        <w:t>Si écrit obligatoire : plan tenu à disposition pendant les travaux et information écrite de l'inspection du travail à l'ouverture (R. 4512-12).</w:t>
      </w:r>
    </w:p>
    <w:p>
      <w:pPr>
        <w:pStyle w:val="Heading1"/>
      </w:pPr>
      <w:r>
        <w:t>6. Suivi de l'opération</w:t>
      </w:r>
    </w:p>
    <w:p>
      <w:pPr>
        <w:pStyle w:val="ListBullet"/>
      </w:pPr>
      <w:r>
        <w:t>Personne chargée de la coordination générale EU : [à compléter] ; référent EE : [à compléter]</w:t>
      </w:r>
    </w:p>
    <w:p>
      <w:pPr>
        <w:pStyle w:val="ListBullet"/>
      </w:pPr>
      <w:r>
        <w:t>Contrôle de la mise en œuvre avant démarrage : [date, responsable, résultat]</w:t>
      </w:r>
    </w:p>
    <w:p>
      <w:pPr>
        <w:pStyle w:val="ListBullet"/>
      </w:pPr>
      <w:r>
        <w:t>Nouvelle phase, nouveau prestataire ou risque nouveau : réexaminer et actualiser le plan avec les entreprises concernées.</w:t>
      </w:r>
    </w:p>
    <w:p>
      <w:pPr>
        <w:pStyle w:val="ListBullet"/>
      </w:pPr>
      <w:r>
        <w:t>Accord des entreprises (signatures recommandées, sans obligation légale générale) : [EU] [EE] [sous-traitants] [date]</w:t>
      </w:r>
    </w:p>
    <w:p>
      <w:r>
        <w:br w:type="page"/>
      </w:r>
    </w:p>
    <w:p>
      <w:pPr>
        <w:pStyle w:val="Heading1"/>
      </w:pPr>
      <w:r>
        <w:t>Exemple rempli fictif</w:t>
      </w:r>
    </w:p>
    <w:p>
      <w:r>
        <w:t>Intervention inventée pour illustrer la méthode. Elle ne constitue pas un plan utilisable sans inspection commune ni adaptation au site.</w:t>
      </w:r>
    </w:p>
    <w:p>
      <w:r>
        <w:t>Entreprise utilisatrice A, atelier de conditionnement en activité ; prestataire B, maintenance mécanique d'une pompe. Aucune adresse ou personne réelle.</w:t>
      </w:r>
    </w:p>
    <w:p>
      <w:r>
        <w:t>Opération de 16 heures avec deux techniciens. Plan écrit établi volontairement : le seuil de 400 heures n'est pas atteint dans cet exemple et les travaux dangereux doivent être vérifiés séparément.</w:t>
      </w:r>
    </w:p>
    <w:p>
      <w:r>
        <w:t>Inspection commune : responsable EU et responsable EE visitent l'allée de circulation, la pompe, la zone de consignation et l'accès aux secours avant le démarrage.</w:t>
      </w:r>
    </w:p>
    <w:tbl>
      <w:tblPr>
        <w:tblStyle w:val="LightShading-Accent1"/>
        <w:tblW w:type="auto" w:w="0"/>
        <w:tblLook w:firstColumn="1" w:firstRow="1" w:lastColumn="0" w:lastRow="0" w:noHBand="0" w:noVBand="1" w:val="04A0"/>
      </w:tblPr>
      <w:tblGrid>
        <w:gridCol w:w="1728"/>
        <w:gridCol w:w="1728"/>
        <w:gridCol w:w="1728"/>
        <w:gridCol w:w="1728"/>
        <w:gridCol w:w="1728"/>
      </w:tblGrid>
      <w:tr>
        <w:tc>
          <w:tcPr>
            <w:tcW w:type="dxa" w:w="1728"/>
          </w:tcPr>
          <w:p>
            <w:r>
              <w:t>Phase et lieu</w:t>
            </w:r>
          </w:p>
        </w:tc>
        <w:tc>
          <w:tcPr>
            <w:tcW w:type="dxa" w:w="1728"/>
          </w:tcPr>
          <w:p>
            <w:r>
              <w:t>Interférence</w:t>
            </w:r>
          </w:p>
        </w:tc>
        <w:tc>
          <w:tcPr>
            <w:tcW w:type="dxa" w:w="1728"/>
          </w:tcPr>
          <w:p>
            <w:r>
              <w:t>Mesure EU</w:t>
            </w:r>
          </w:p>
        </w:tc>
        <w:tc>
          <w:tcPr>
            <w:tcW w:type="dxa" w:w="1728"/>
          </w:tcPr>
          <w:p>
            <w:r>
              <w:t>Mesure EE</w:t>
            </w:r>
          </w:p>
        </w:tc>
        <w:tc>
          <w:tcPr>
            <w:tcW w:type="dxa" w:w="1728"/>
          </w:tcPr>
          <w:p>
            <w:r>
              <w:t>Contrôle</w:t>
            </w:r>
          </w:p>
        </w:tc>
      </w:tr>
      <w:tr>
        <w:tc>
          <w:tcPr>
            <w:tcW w:type="dxa" w:w="1728"/>
          </w:tcPr>
          <w:p>
            <w:r>
              <w:t>Accueil et traversée de l'atelier</w:t>
            </w:r>
          </w:p>
        </w:tc>
        <w:tc>
          <w:tcPr>
            <w:tcW w:type="dxa" w:w="1728"/>
          </w:tcPr>
          <w:p>
            <w:r>
              <w:t>Prestataire et chariots de manutention dans la même allée</w:t>
            </w:r>
          </w:p>
        </w:tc>
        <w:tc>
          <w:tcPr>
            <w:tcW w:type="dxa" w:w="1728"/>
          </w:tcPr>
          <w:p>
            <w:r>
              <w:t>Délimiter le chemin piéton et suspendre les flux à l'arrivée</w:t>
            </w:r>
          </w:p>
        </w:tc>
        <w:tc>
          <w:tcPr>
            <w:tcW w:type="dxa" w:w="1728"/>
          </w:tcPr>
          <w:p>
            <w:r>
              <w:t>Rester sur le chemin balisé, gilet haute visibilité</w:t>
            </w:r>
          </w:p>
        </w:tc>
        <w:tc>
          <w:tcPr>
            <w:tcW w:type="dxa" w:w="1728"/>
          </w:tcPr>
          <w:p>
            <w:r>
              <w:t>Référent EU avant accès</w:t>
            </w:r>
          </w:p>
        </w:tc>
      </w:tr>
      <w:tr>
        <w:tc>
          <w:tcPr>
            <w:tcW w:type="dxa" w:w="1728"/>
          </w:tcPr>
          <w:p>
            <w:r>
              <w:t>Arrêt de la pompe</w:t>
            </w:r>
          </w:p>
        </w:tc>
        <w:tc>
          <w:tcPr>
            <w:tcW w:type="dxa" w:w="1728"/>
          </w:tcPr>
          <w:p>
            <w:r>
              <w:t>Redémarrage par l'équipe de production pendant l'intervention</w:t>
            </w:r>
          </w:p>
        </w:tc>
        <w:tc>
          <w:tcPr>
            <w:tcW w:type="dxa" w:w="1728"/>
          </w:tcPr>
          <w:p>
            <w:r>
              <w:t>Consigner les énergies et empêcher toute remise en marche</w:t>
            </w:r>
          </w:p>
        </w:tc>
        <w:tc>
          <w:tcPr>
            <w:tcW w:type="dxa" w:w="1728"/>
          </w:tcPr>
          <w:p>
            <w:r>
              <w:t>Vérifier l'absence d'énergie avec le référent habilité avant intervention</w:t>
            </w:r>
          </w:p>
        </w:tc>
        <w:tc>
          <w:tcPr>
            <w:tcW w:type="dxa" w:w="1728"/>
          </w:tcPr>
          <w:p>
            <w:r>
              <w:t>EU et EE avant ouverture</w:t>
            </w:r>
          </w:p>
        </w:tc>
      </w:tr>
      <w:tr>
        <w:tc>
          <w:tcPr>
            <w:tcW w:type="dxa" w:w="1728"/>
          </w:tcPr>
          <w:p>
            <w:r>
              <w:t>Dépose et remise en état</w:t>
            </w:r>
          </w:p>
        </w:tc>
        <w:tc>
          <w:tcPr>
            <w:tcW w:type="dxa" w:w="1728"/>
          </w:tcPr>
          <w:p>
            <w:r>
              <w:t>Pièces et outils proches des opérateurs du site</w:t>
            </w:r>
          </w:p>
        </w:tc>
        <w:tc>
          <w:tcPr>
            <w:tcW w:type="dxa" w:w="1728"/>
          </w:tcPr>
          <w:p>
            <w:r>
              <w:t>Isoler la zone et dévier les circulations</w:t>
            </w:r>
          </w:p>
        </w:tc>
        <w:tc>
          <w:tcPr>
            <w:tcW w:type="dxa" w:w="1728"/>
          </w:tcPr>
          <w:p>
            <w:r>
              <w:t>Ranger les outils, maintenir la zone dégagée</w:t>
            </w:r>
          </w:p>
        </w:tc>
        <w:tc>
          <w:tcPr>
            <w:tcW w:type="dxa" w:w="1728"/>
          </w:tcPr>
          <w:p>
            <w:r>
              <w:t>EU/EE en cours de tâche</w:t>
            </w:r>
          </w:p>
        </w:tc>
      </w:tr>
      <w:tr>
        <w:tc>
          <w:tcPr>
            <w:tcW w:type="dxa" w:w="1728"/>
          </w:tcPr>
          <w:p>
            <w:r>
              <w:t>Essai et restitution</w:t>
            </w:r>
          </w:p>
        </w:tc>
        <w:tc>
          <w:tcPr>
            <w:tcW w:type="dxa" w:w="1728"/>
          </w:tcPr>
          <w:p>
            <w:r>
              <w:t>Remise en service alors que des personnes sont dans la zone</w:t>
            </w:r>
          </w:p>
        </w:tc>
        <w:tc>
          <w:tcPr>
            <w:tcW w:type="dxa" w:w="1728"/>
          </w:tcPr>
          <w:p>
            <w:r>
              <w:t>Valider la fin des travaux et autoriser la remise en route</w:t>
            </w:r>
          </w:p>
        </w:tc>
        <w:tc>
          <w:tcPr>
            <w:tcW w:type="dxa" w:w="1728"/>
          </w:tcPr>
          <w:p>
            <w:r>
              <w:t>Retirer le personnel et les outils ; confirmer la restitution</w:t>
            </w:r>
          </w:p>
        </w:tc>
        <w:tc>
          <w:tcPr>
            <w:tcW w:type="dxa" w:w="1728"/>
          </w:tcPr>
          <w:p>
            <w:r>
              <w:t>EU/EE avant essai</w:t>
            </w:r>
          </w:p>
        </w:tc>
      </w:tr>
    </w:tbl>
    <w:p>
      <w:r>
        <w:t>Instructions : accueil sécurité du site, circulation uniquement sur le parcours défini, arrêt immédiat si la situation change. Premiers secours : procédure du site à compléter avec les contacts effectifs avant intervention. Coordination : le référent EU autorise les étapes de consignation et de remise en service ; le référent EE dirige son équipe.</w:t>
      </w:r>
    </w:p>
    <w:p>
      <w:r>
        <w:t>Accord EU et EE : champs de signature à compléter. Les signatures servent de trace de l'accord, sans être une exigence générale du Code du travail.</w:t>
      </w:r>
    </w:p>
    <w:p>
      <w:pPr>
        <w:pStyle w:val="Heading1"/>
      </w:pPr>
      <w:r>
        <w:t>Sources vérifiées le 15 octobre 2026</w:t>
      </w:r>
    </w:p>
    <w:p>
      <w:pPr>
        <w:pStyle w:val="ListBullet"/>
      </w:pPr>
      <w:r>
        <w:t>Code du travail, articles R. 4512-6 à R. 4512-12 : https://www.legifrance.gouv.fr/codes/section_lc/LEGITEXT000006072050/LEGISCTA000018491568/2024-04-03</w:t>
      </w:r>
    </w:p>
    <w:p>
      <w:pPr>
        <w:pStyle w:val="ListBullet"/>
      </w:pPr>
      <w:r>
        <w:t>Arrêté du 19 mars 1993, travaux dangereux : https://www.legifrance.gouv.fr/loda/id/JORFTEXT000000179892</w:t>
      </w:r>
    </w:p>
    <w:p>
      <w:pPr>
        <w:pStyle w:val="ListBullet"/>
      </w:pPr>
      <w:r>
        <w:t>INRS, entreprises extérieures, mesures préalables : https://www.inrs.fr/risques/entreprises-exterieures/mesures-prevention-prealables-intervention.html</w:t>
      </w:r>
    </w:p>
    <w:p>
      <w:pPr>
        <w:pStyle w:val="ListBullet"/>
      </w:pPr>
      <w:r>
        <w:t>INRS, format, contenu et signature : https://www.inrs.fr/publications/juridique/focus-juridiques/focus-juridique-plans-prevention.html</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DejaVu Sans" w:hAnsi="DejaVu Sans"/>
      <w:color w:val="1E303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11475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1147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DejaVu Sans" w:hAnsi="DejaVu Sans"/>
      <w:color w:val="11475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